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05" w:rsidRPr="00D1099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61E05" w:rsidRPr="00AE1701" w:rsidRDefault="00F61E05" w:rsidP="00F61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Консультация для воспитателей:</w:t>
      </w:r>
    </w:p>
    <w:p w:rsidR="00F61E05" w:rsidRPr="00AE1701" w:rsidRDefault="00F61E05" w:rsidP="00F61E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«Гендерное воспитание дошкольников в условиях ДОУ».</w:t>
      </w:r>
    </w:p>
    <w:p w:rsidR="00F61E05" w:rsidRPr="00AE1701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E1701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F61E05" w:rsidRPr="00AE1701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E1701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F61E05" w:rsidRPr="00AE1701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E1701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F61E05" w:rsidRPr="00AE1701" w:rsidRDefault="00F61E05" w:rsidP="00F61E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48"/>
          <w:szCs w:val="48"/>
          <w:lang w:eastAsia="ru-RU"/>
        </w:rPr>
      </w:pPr>
      <w:r w:rsidRPr="00AE1701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F61E05" w:rsidRPr="00AE1701" w:rsidRDefault="00F61E05" w:rsidP="00F61E0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48"/>
          <w:szCs w:val="48"/>
          <w:lang w:eastAsia="ru-RU"/>
        </w:rPr>
      </w:pPr>
      <w:r w:rsidRPr="00AE1701">
        <w:rPr>
          <w:rFonts w:ascii="Arial" w:eastAsia="Times New Roman" w:hAnsi="Arial" w:cs="Arial"/>
          <w:i/>
          <w:iCs/>
          <w:sz w:val="48"/>
          <w:szCs w:val="48"/>
          <w:lang w:eastAsia="ru-RU"/>
        </w:rPr>
        <w:t>Подготовила: педагог- Корчагина Е.В..</w:t>
      </w:r>
    </w:p>
    <w:p w:rsidR="00F61E05" w:rsidRPr="00AE1701" w:rsidRDefault="00F61E05" w:rsidP="00F61E05"/>
    <w:p w:rsidR="00F61E05" w:rsidRPr="00AE1701" w:rsidRDefault="00F61E05" w:rsidP="00F61E05"/>
    <w:p w:rsidR="00F61E05" w:rsidRPr="00AE1701" w:rsidRDefault="00F61E05" w:rsidP="00F61E05"/>
    <w:p w:rsidR="00F61E05" w:rsidRPr="00AE1701" w:rsidRDefault="00F61E05" w:rsidP="00F61E05"/>
    <w:p w:rsidR="00F61E05" w:rsidRPr="00AE1701" w:rsidRDefault="00F61E05" w:rsidP="00F61E05"/>
    <w:p w:rsidR="00F61E05" w:rsidRPr="00AE1701" w:rsidRDefault="00F61E05" w:rsidP="00F61E05"/>
    <w:p w:rsidR="00F61E05" w:rsidRPr="00AE1701" w:rsidRDefault="00F61E05" w:rsidP="00F61E05"/>
    <w:p w:rsidR="00F61E05" w:rsidRPr="00AE1701" w:rsidRDefault="00F61E05" w:rsidP="00F61E05"/>
    <w:p w:rsidR="00F61E05" w:rsidRPr="00AE1701" w:rsidRDefault="00F61E05" w:rsidP="00F61E05">
      <w:pPr>
        <w:rPr>
          <w:rFonts w:ascii="Times New Roman" w:hAnsi="Times New Roman" w:cs="Times New Roman"/>
          <w:sz w:val="32"/>
          <w:szCs w:val="32"/>
        </w:rPr>
      </w:pPr>
      <w:r w:rsidRPr="00AE1701">
        <w:rPr>
          <w:rFonts w:ascii="Times New Roman" w:hAnsi="Times New Roman" w:cs="Times New Roman"/>
          <w:sz w:val="32"/>
          <w:szCs w:val="32"/>
        </w:rPr>
        <w:t>2022г.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Консультация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«Гендерное воспитание дошкольников в условиях ДОУ»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знания педагогов о формировании у детей гендерной принадлежности в условиях ДОУ.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структуре основной общеобразовательной программы дошкольного образования, в области «Социализация» поставлена задача – формирование у детей гендерной принадлежности.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гендером</w:t>
      </w:r>
      <w:proofErr w:type="spellEnd"/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понимается социальный пол человека, формируемый в процессе воспитания личности и включающий в себя психологические, социальные и культурные отличия между мужчинами (мальчиками) и женщинами (девочками), а существующие свойства и отношения называются гендерными.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массовой практики показывает, что в настоящее время в системе дошкольного образования возникают серьёзные проблемы по вопросам гендерного воспитания. В первую очередь это связано с тем, что в программно-методическом обеспечении дошкольных образовательных учреждений России не учитывали гендерные особенности. В результате этого содержание воспитания и образования ориентировано на возрастные и психологические особенности детей, а не на мальчиков и девочек того или иного возраста, которые, по мнению ученых различаются, а именно: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 физическом развитии и социальном поведении;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 интеллектуальных и визуально-пространственных способностях и уровне достижений;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 проявлении агрессии и многом другом.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психолого-педагогических исследований,  было установлено, что именно в период дошкольного детства у  детей, происходит принятие гендерной роли:</w:t>
      </w:r>
    </w:p>
    <w:p w:rsidR="00F61E05" w:rsidRPr="00AE1701" w:rsidRDefault="00F61E05" w:rsidP="00F61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возрасту 2-3 лет дети начинают понимать, что они либо девочка, либо мальчик, и обозначают себя соответствующим образом;</w:t>
      </w:r>
    </w:p>
    <w:p w:rsidR="00F61E05" w:rsidRPr="00AE1701" w:rsidRDefault="00F61E05" w:rsidP="00F61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с 4 до 7 лет формируется гендерная устойчивость: детям становится понятно, что </w:t>
      </w:r>
      <w:proofErr w:type="spellStart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</w:t>
      </w:r>
      <w:proofErr w:type="spellEnd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изменяется: мальчики становятся мужчинами, а девочки – женщинами и эта принадлежность к полу не изменится.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детей воспитателю важно учитывать, что девочки нуждаются в стимулах,  в большей степени построенных на основе слухового восприятия. Мальчики плохо воспринимают объяснение воспитателя на слух и для них предпочтительнее использовать визуальные средства, построенные на зрительном восприятии.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по творческой деятельности важно создавать условия для того, чтобы девочки и мальчики могли бы выразить то, что для каждого из них интересно или эмоционально значимо. Но при отборе содержания для обучения детей рисованием, лепкой и аппликацией важно помнить о том, что кисть руки мальчика в своем развитии отстает от кисти руки девочки на 1,5 года.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поведения детей и результатов их деятельности (рисунка, лепки, аппликации, поделки, конструкции и т.п.) воспитателю необходимо помнить, что девочки крайне чувствительны к интонациям, к форме оценки, ее публичности. Для девочек очень важно, чтобы ими восхищались в присутствии других детей, родителей и т.п</w:t>
      </w:r>
      <w:proofErr w:type="gramStart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мальчиков наиболее значимым является указание на то, что он добился результата именно в этом: научился здороваться, чистить зубы, конструировать что-то и т.п. Каждый приобретенный навык, результат, который мальчику удалось получить, положительно сказывается на его личностном росте, позволяет гордиться собой и стремиться к новым 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достижениям. Но именно у мальчиков наблюдается тенденция к тому, что добившись результата в каком-то виде деятельности, они так счастливы этим, что готовы конструировать или рисовать одно </w:t>
      </w:r>
      <w:proofErr w:type="gramStart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же, что позволяет им утвердиться в своих достижениях, но требует правильного понимания со стороны воспитателя.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заметны различия девочек и мальчиков дошкольного возраста в игровой деятельности. Ученые отмечают разное содержание и игровые стили, которые часто не могут быть реализованы детьми в силу того, что воспитателям – женщинам ближе тихие игры девочек на семейно-бытовые темы. Мальчики очень любят дружеские потасовки, что не является проявлением агрессии и создает у детей положительный эмоциональный фон. Воспитатели не всегда правильно понимают потребность мальчиков в этих потасовках и резко прерывают их, лишая детей радости, которую они при этом испытывают. Шумные, наполненные движением игры мальчиков вызывают у воспитателей раздражение, так как они считают, что такого рода игры являются лишь бессмысленной беготней и могут привести к травме, а, следовательно, им не место в жизни группы и они должны быть прекращены. В результате мальчики лишены истинно «мужских игр», что отрицательно сказывается на их личностном развитии.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совместном воспитании мальчиков и девочек очень важной педагогической задачей является преодоление разобщенности между детьми и организации совместных игр, в процессе которых дети могли бы действовать сообща, но в соответствии с гендерными особенностями. Где мальчики принимают на себя мужские роли, а девочки – женские. Организация таких игр может быть построена, через театрализованную деятельность.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со стороны педагогов требуют проблемы, связанные с организацией предметно-пространственной среды.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Общеизвестно, что 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не только обеспечивает разные виды активности дошкольников (физической, игровой, умственной и т.п.), но и является основой его самостоятельной деятельности с учетом гендерных особенностей. Роль взрослого в данном случае состоит в том, чтобы открыть перед мальчиками и девочками весь спектр возможностей среды и направить их усилия на использование отдельных элементов ее с учетом гендерных, индивидуальных особенностей и потребностей каждого ребенка.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детском саду используется гендерная принадлежность, через </w:t>
      </w: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– образовательную деятельность: участие в конкурсах - 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такая профессия – Родину защищать», «Знакомство с русским народным костюмом», «Пожар», «Русские богатыри – защитники Отечества»,  «Будем в Армии служить» (по образовательной области «Познание», «Коммуникация», «Художественное творчество»).</w:t>
      </w:r>
      <w:proofErr w:type="gramEnd"/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 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«Кто я: мальчик или девочка?», «Чем мы похожи и чем отличаемся?»… «Мои достоинства», «Мои таланты», «Мои недостатки»…</w:t>
      </w:r>
      <w:r w:rsidRPr="00AE1701">
        <w:rPr>
          <w:rFonts w:ascii="Century Schoolbook" w:eastAsia="Times New Roman" w:hAnsi="Century Schoolbook" w:cs="Arial"/>
          <w:sz w:val="24"/>
          <w:szCs w:val="24"/>
          <w:lang w:eastAsia="ru-RU"/>
        </w:rPr>
        <w:t> 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игры 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без тебя», «На какого сказочного героя я похож (похожа)?», «Что умеют руки мальчиков?», «Что умеют руки девочек?»…</w:t>
      </w:r>
      <w:proofErr w:type="gramEnd"/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Тренинги и педагогические ситуации 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«Обратись ко мне по имени», «Поможем девочкам», Волшебная ромашка», «Снежный ком из ласковых имен», «Комплименты»…</w:t>
      </w:r>
    </w:p>
    <w:p w:rsidR="00F61E05" w:rsidRPr="00AE1701" w:rsidRDefault="00F61E05" w:rsidP="00F61E05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художественной литературы: </w:t>
      </w: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таких р.н</w:t>
      </w:r>
      <w:proofErr w:type="gramStart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казок, как «</w:t>
      </w:r>
      <w:proofErr w:type="spellStart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Крошечка-Хаврошечка</w:t>
      </w:r>
      <w:proofErr w:type="spellEnd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«Как аукнется, так и откликнется», «Рукодельница и ленивица», сказки Г.Х.Андерсена «Снежная Королева», «Дикие лебеди» , «Иван – крестьянский сын и Чудо-Юдо», «Царевна лягушка», рассказы о русских солдатах, «Рассказ о неизвестном герое» С.Маршака и др.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педагогов и родителей при общении с мальчиками и девочками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Никогда не забывайте, что перед вами не просто ребенок,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Никогда не сравнивай мальчиков и девочек, не ставьте одних в пример другим: они такие разные даже по биологическому возрасту – девочки обычно старше ровесников – мальчиков.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Не забывайте, что мальчики и девочки по-разному видят, слышат, осязают, по-разному воспринимают пространство и ориентируются в нем, а главное по-разному осмысливают все, с чем сталкиваются в этом мире. И уж, конечно, не так, как мы взрослые.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Помните, что когда женщина воспитывает и обучает мальчиков (а мужчина – девочек), ей мало пригодится собственный детский опыт и сравнивать себя в детстве с ними – неверно и бесполезно.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Не переусердствуйте, требуя от мальчиков аккуратности и тщательности выполнения вашего задания.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Старайтесь, давая задание мальчикам, как в детском саду, в школе, в быту,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Не забывайте, не только рассказывать, но и показывать. Особенно это важно для мальчиков.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Помните, что мы часто недооцениваем эмоциональную чувствительность и тревожность мальчиков.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Если вам надо отругать девочку, не спешите </w:t>
      </w:r>
      <w:proofErr w:type="gramStart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своё отношение</w:t>
      </w:r>
      <w:proofErr w:type="gramEnd"/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ней, – бурная эмоциональная реакция помешает ей понять, за что её ругают. Сначала разберитесь, в чем ошибка. </w:t>
      </w:r>
    </w:p>
    <w:p w:rsidR="00F61E05" w:rsidRPr="00AE1701" w:rsidRDefault="00F61E05" w:rsidP="00F61E05">
      <w:pPr>
        <w:shd w:val="clear" w:color="auto" w:fill="FFFFFF"/>
        <w:spacing w:after="0" w:line="0" w:lineRule="auto"/>
        <w:ind w:left="360" w:right="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0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слышать. </w:t>
      </w:r>
    </w:p>
    <w:p w:rsidR="00F61E05" w:rsidRPr="00AE1701" w:rsidRDefault="00F61E05" w:rsidP="00F61E0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E05" w:rsidRPr="00AE1701" w:rsidRDefault="00F61E05" w:rsidP="00F61E0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E170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Литература</w:t>
      </w:r>
      <w:r w:rsidRPr="00AE1701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AE1701">
        <w:rPr>
          <w:rFonts w:ascii="Arial" w:eastAsia="Times New Roman" w:hAnsi="Arial" w:cs="Arial"/>
          <w:sz w:val="24"/>
          <w:szCs w:val="24"/>
          <w:lang w:val="en-US" w:eastAsia="ru-RU"/>
        </w:rPr>
        <w:br/>
      </w:r>
    </w:p>
    <w:p w:rsidR="00F61E05" w:rsidRPr="00AE1701" w:rsidRDefault="00203C78" w:rsidP="00F61E05">
      <w:pPr>
        <w:jc w:val="both"/>
        <w:rPr>
          <w:sz w:val="24"/>
          <w:szCs w:val="24"/>
          <w:lang w:val="en-US"/>
        </w:rPr>
      </w:pPr>
      <w:hyperlink r:id="rId5" w:tgtFrame="_blank" w:history="1">
        <w:proofErr w:type="spellStart"/>
        <w:r w:rsidR="00F61E05" w:rsidRPr="00AE1701">
          <w:rPr>
            <w:rStyle w:val="a3"/>
            <w:rFonts w:ascii="Arial" w:hAnsi="Arial" w:cs="Arial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multiurok.ru</w:t>
        </w:r>
        <w:r w:rsidR="00F61E05" w:rsidRPr="00AE1701">
          <w:rPr>
            <w:rStyle w:val="path-separator"/>
            <w:rFonts w:ascii="Verdana" w:hAnsi="Verdana" w:cs="Arial"/>
            <w:sz w:val="24"/>
            <w:szCs w:val="24"/>
            <w:shd w:val="clear" w:color="auto" w:fill="FFFFFF"/>
            <w:lang w:val="en-US"/>
          </w:rPr>
          <w:t>›</w:t>
        </w:r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files</w:t>
        </w:r>
        <w:proofErr w:type="spellEnd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dlia</w:t>
        </w:r>
        <w:proofErr w:type="spellEnd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…gendernoe-vospitanie.html</w:t>
        </w:r>
      </w:hyperlink>
    </w:p>
    <w:p w:rsidR="00F61E05" w:rsidRPr="00AE1701" w:rsidRDefault="00203C78" w:rsidP="00F61E05">
      <w:pPr>
        <w:jc w:val="both"/>
        <w:rPr>
          <w:sz w:val="24"/>
          <w:szCs w:val="24"/>
          <w:lang w:val="en-US"/>
        </w:rPr>
      </w:pPr>
      <w:hyperlink r:id="rId6" w:tgtFrame="_blank" w:history="1">
        <w:r w:rsidR="00F61E05" w:rsidRPr="00AE1701">
          <w:rPr>
            <w:rStyle w:val="a3"/>
            <w:rFonts w:ascii="Arial" w:hAnsi="Arial" w:cs="Arial"/>
            <w:b/>
            <w:bCs/>
            <w:color w:val="auto"/>
            <w:sz w:val="24"/>
            <w:szCs w:val="24"/>
            <w:shd w:val="clear" w:color="auto" w:fill="FFFFFF"/>
            <w:lang w:val="en-US"/>
          </w:rPr>
          <w:t>nsportal.ru</w:t>
        </w:r>
        <w:r w:rsidR="00F61E05" w:rsidRPr="00AE1701">
          <w:rPr>
            <w:rStyle w:val="path-separator"/>
            <w:rFonts w:ascii="Verdana" w:hAnsi="Verdana" w:cs="Arial"/>
            <w:sz w:val="24"/>
            <w:szCs w:val="24"/>
            <w:shd w:val="clear" w:color="auto" w:fill="FFFFFF"/>
            <w:lang w:val="en-US"/>
          </w:rPr>
          <w:t>›</w:t>
        </w:r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gendernoe</w:t>
        </w:r>
        <w:proofErr w:type="spellEnd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-</w:t>
        </w:r>
        <w:proofErr w:type="spellStart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vospitanie</w:t>
        </w:r>
        <w:proofErr w:type="spellEnd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-</w:t>
        </w:r>
        <w:proofErr w:type="spellStart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doshkolnikov</w:t>
        </w:r>
        <w:proofErr w:type="spellEnd"/>
        <w:r w:rsidR="00F61E05" w:rsidRPr="00AE1701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-v</w:t>
        </w:r>
      </w:hyperlink>
    </w:p>
    <w:p w:rsidR="00843EB5" w:rsidRPr="00AE1701" w:rsidRDefault="00843EB5">
      <w:pPr>
        <w:rPr>
          <w:lang w:val="en-US"/>
        </w:rPr>
      </w:pPr>
      <w:bookmarkStart w:id="0" w:name="_GoBack"/>
      <w:bookmarkEnd w:id="0"/>
    </w:p>
    <w:sectPr w:rsidR="00843EB5" w:rsidRPr="00AE1701" w:rsidSect="00F61E0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0551C"/>
    <w:multiLevelType w:val="multilevel"/>
    <w:tmpl w:val="BF4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B1B"/>
    <w:rsid w:val="00203C78"/>
    <w:rsid w:val="00843EB5"/>
    <w:rsid w:val="00AE1701"/>
    <w:rsid w:val="00DF4B1B"/>
    <w:rsid w:val="00F61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E05"/>
    <w:rPr>
      <w:color w:val="0000FF"/>
      <w:u w:val="single"/>
    </w:rPr>
  </w:style>
  <w:style w:type="character" w:customStyle="1" w:styleId="path-separator">
    <w:name w:val="path-separator"/>
    <w:basedOn w:val="a0"/>
    <w:rsid w:val="00F61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E05"/>
    <w:rPr>
      <w:color w:val="0000FF"/>
      <w:u w:val="single"/>
    </w:rPr>
  </w:style>
  <w:style w:type="character" w:customStyle="1" w:styleId="path-separator">
    <w:name w:val="path-separator"/>
    <w:basedOn w:val="a0"/>
    <w:rsid w:val="00F61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3/03/21/konsultatsiya-dlya-pedagogov-gendernoe-vospitanie-doshkolnikov-v" TargetMode="External"/><Relationship Id="rId5" Type="http://schemas.openxmlformats.org/officeDocument/2006/relationships/hyperlink" Target="https://multiurok.ru/files/konsultatsiia-dlia-pedagogov-gendernoe-vospitanie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1494</Words>
  <Characters>8520</Characters>
  <Application>Microsoft Office Word</Application>
  <DocSecurity>0</DocSecurity>
  <Lines>71</Lines>
  <Paragraphs>19</Paragraphs>
  <ScaleCrop>false</ScaleCrop>
  <Company>diakov.net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МБДОУ №26</cp:lastModifiedBy>
  <cp:revision>3</cp:revision>
  <dcterms:created xsi:type="dcterms:W3CDTF">2023-01-19T07:06:00Z</dcterms:created>
  <dcterms:modified xsi:type="dcterms:W3CDTF">2023-01-19T08:47:00Z</dcterms:modified>
</cp:coreProperties>
</file>